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20A5F" w14:textId="77777777" w:rsidR="00254097" w:rsidRPr="00E77B25" w:rsidRDefault="00000000">
      <w:pPr>
        <w:pStyle w:val="Title"/>
        <w:rPr>
          <w:rFonts w:ascii="Times New Roman" w:hAnsi="Times New Roman" w:cs="Times New Roman"/>
          <w:color w:val="auto"/>
          <w:sz w:val="22"/>
          <w:szCs w:val="22"/>
        </w:rPr>
      </w:pPr>
      <w:r w:rsidRPr="00E77B25">
        <w:rPr>
          <w:rFonts w:ascii="Times New Roman" w:hAnsi="Times New Roman" w:cs="Times New Roman"/>
          <w:color w:val="auto"/>
          <w:sz w:val="22"/>
          <w:szCs w:val="22"/>
        </w:rPr>
        <w:t>Novarra BBX – Disclosures</w:t>
      </w:r>
    </w:p>
    <w:p w14:paraId="5484A3F8" w14:textId="3B5D2E53" w:rsidR="00254097" w:rsidRPr="00E77B25" w:rsidRDefault="00000000">
      <w:pPr>
        <w:rPr>
          <w:rFonts w:ascii="Times New Roman" w:hAnsi="Times New Roman" w:cs="Times New Roman"/>
        </w:rPr>
      </w:pPr>
      <w:r w:rsidRPr="00E77B25">
        <w:rPr>
          <w:rFonts w:ascii="Times New Roman" w:hAnsi="Times New Roman" w:cs="Times New Roman"/>
        </w:rPr>
        <w:t xml:space="preserve">Last updated: </w:t>
      </w:r>
      <w:r w:rsidR="00E77B25">
        <w:rPr>
          <w:rFonts w:ascii="Times New Roman" w:hAnsi="Times New Roman" w:cs="Times New Roman"/>
        </w:rPr>
        <w:t>January 1,</w:t>
      </w:r>
      <w:r w:rsidRPr="00E77B25">
        <w:rPr>
          <w:rFonts w:ascii="Times New Roman" w:hAnsi="Times New Roman" w:cs="Times New Roman"/>
        </w:rPr>
        <w:t xml:space="preserve"> 2025</w:t>
      </w:r>
    </w:p>
    <w:p w14:paraId="7F93498A" w14:textId="77777777" w:rsidR="00254097" w:rsidRPr="00E77B25" w:rsidRDefault="00000000">
      <w:pPr>
        <w:pStyle w:val="Heading2"/>
        <w:rPr>
          <w:rFonts w:ascii="Times New Roman" w:hAnsi="Times New Roman" w:cs="Times New Roman"/>
          <w:color w:val="auto"/>
          <w:sz w:val="22"/>
          <w:szCs w:val="22"/>
        </w:rPr>
      </w:pPr>
      <w:r w:rsidRPr="00E77B25">
        <w:rPr>
          <w:rFonts w:ascii="Times New Roman" w:hAnsi="Times New Roman" w:cs="Times New Roman"/>
          <w:color w:val="auto"/>
          <w:sz w:val="22"/>
          <w:szCs w:val="22"/>
        </w:rPr>
        <w:t>Novarra BBX, LLC (U.S.)</w:t>
      </w:r>
    </w:p>
    <w:p w14:paraId="50793B47" w14:textId="77777777" w:rsidR="00254097" w:rsidRPr="00E77B25" w:rsidRDefault="00000000">
      <w:pPr>
        <w:rPr>
          <w:rFonts w:ascii="Times New Roman" w:hAnsi="Times New Roman" w:cs="Times New Roman"/>
        </w:rPr>
      </w:pPr>
      <w:r w:rsidRPr="00E77B25">
        <w:rPr>
          <w:rFonts w:ascii="Times New Roman" w:hAnsi="Times New Roman" w:cs="Times New Roman"/>
        </w:rPr>
        <w:t>Novarra BBX, LLC is a Wyoming limited liability company that provides institutional digital asset services, including:</w:t>
      </w:r>
      <w:r w:rsidRPr="00E77B25">
        <w:rPr>
          <w:rFonts w:ascii="Times New Roman" w:hAnsi="Times New Roman" w:cs="Times New Roman"/>
        </w:rPr>
        <w:br/>
      </w:r>
      <w:r w:rsidRPr="00E77B25">
        <w:rPr>
          <w:rFonts w:ascii="Times New Roman" w:hAnsi="Times New Roman" w:cs="Times New Roman"/>
        </w:rPr>
        <w:br/>
        <w:t>- Institutional digital asset settlement and execution support</w:t>
      </w:r>
      <w:r w:rsidRPr="00E77B25">
        <w:rPr>
          <w:rFonts w:ascii="Times New Roman" w:hAnsi="Times New Roman" w:cs="Times New Roman"/>
        </w:rPr>
        <w:br/>
        <w:t>- Custodial wallet integrations (via third-party qualified custodians)</w:t>
      </w:r>
      <w:r w:rsidRPr="00E77B25">
        <w:rPr>
          <w:rFonts w:ascii="Times New Roman" w:hAnsi="Times New Roman" w:cs="Times New Roman"/>
        </w:rPr>
        <w:br/>
        <w:t>- OTC settlement rails, liquidity pools, and structured transaction support</w:t>
      </w:r>
      <w:r w:rsidRPr="00E77B25">
        <w:rPr>
          <w:rFonts w:ascii="Times New Roman" w:hAnsi="Times New Roman" w:cs="Times New Roman"/>
        </w:rPr>
        <w:br/>
      </w:r>
      <w:r w:rsidRPr="00E77B25">
        <w:rPr>
          <w:rFonts w:ascii="Times New Roman" w:hAnsi="Times New Roman" w:cs="Times New Roman"/>
        </w:rPr>
        <w:br/>
        <w:t>Regulatory Status:</w:t>
      </w:r>
      <w:r w:rsidRPr="00E77B25">
        <w:rPr>
          <w:rFonts w:ascii="Times New Roman" w:hAnsi="Times New Roman" w:cs="Times New Roman"/>
        </w:rPr>
        <w:br/>
        <w:t>- Novarra BBX, LLC is not a registered broker-dealer, investment adviser, or alternative trading system (ATS).</w:t>
      </w:r>
      <w:r w:rsidRPr="00E77B25">
        <w:rPr>
          <w:rFonts w:ascii="Times New Roman" w:hAnsi="Times New Roman" w:cs="Times New Roman"/>
        </w:rPr>
        <w:br/>
        <w:t>- U.S. operations are conducted in compliance with applicable U.S. law, including FinCEN registration requirements, the Bank Secrecy Act, OFAC sanctions, and related AML/KYC obligations.</w:t>
      </w:r>
      <w:r w:rsidRPr="00E77B25">
        <w:rPr>
          <w:rFonts w:ascii="Times New Roman" w:hAnsi="Times New Roman" w:cs="Times New Roman"/>
        </w:rPr>
        <w:br/>
        <w:t>- Services are intended exclusively for institutional clients and verified accredited investors.</w:t>
      </w:r>
    </w:p>
    <w:p w14:paraId="55E3EE48" w14:textId="77777777" w:rsidR="00254097" w:rsidRPr="00E77B25" w:rsidRDefault="00000000">
      <w:pPr>
        <w:pStyle w:val="Heading2"/>
        <w:rPr>
          <w:rFonts w:ascii="Times New Roman" w:hAnsi="Times New Roman" w:cs="Times New Roman"/>
          <w:color w:val="auto"/>
          <w:sz w:val="22"/>
          <w:szCs w:val="22"/>
        </w:rPr>
      </w:pPr>
      <w:r w:rsidRPr="00E77B25">
        <w:rPr>
          <w:rFonts w:ascii="Times New Roman" w:hAnsi="Times New Roman" w:cs="Times New Roman"/>
          <w:color w:val="auto"/>
          <w:sz w:val="22"/>
          <w:szCs w:val="22"/>
        </w:rPr>
        <w:t>Novarra BBX (Cayman)</w:t>
      </w:r>
    </w:p>
    <w:p w14:paraId="243911AE" w14:textId="77777777" w:rsidR="00254097" w:rsidRPr="00E77B25" w:rsidRDefault="00000000">
      <w:pPr>
        <w:rPr>
          <w:rFonts w:ascii="Times New Roman" w:hAnsi="Times New Roman" w:cs="Times New Roman"/>
        </w:rPr>
      </w:pPr>
      <w:r w:rsidRPr="00E77B25">
        <w:rPr>
          <w:rFonts w:ascii="Times New Roman" w:hAnsi="Times New Roman" w:cs="Times New Roman"/>
        </w:rPr>
        <w:t>Novarra BBX (Cayman) is an affiliated entity incorporated under the laws of the Cayman Islands.</w:t>
      </w:r>
      <w:r w:rsidRPr="00E77B25">
        <w:rPr>
          <w:rFonts w:ascii="Times New Roman" w:hAnsi="Times New Roman" w:cs="Times New Roman"/>
        </w:rPr>
        <w:br/>
      </w:r>
      <w:r w:rsidRPr="00E77B25">
        <w:rPr>
          <w:rFonts w:ascii="Times New Roman" w:hAnsi="Times New Roman" w:cs="Times New Roman"/>
        </w:rPr>
        <w:br/>
        <w:t>- Provides international counterpart and settlement services for institutional digital asset transactions.</w:t>
      </w:r>
      <w:r w:rsidRPr="00E77B25">
        <w:rPr>
          <w:rFonts w:ascii="Times New Roman" w:hAnsi="Times New Roman" w:cs="Times New Roman"/>
        </w:rPr>
        <w:br/>
        <w:t>- Facilitates custody, liquidity solutions, and structured trading for global clients.</w:t>
      </w:r>
      <w:r w:rsidRPr="00E77B25">
        <w:rPr>
          <w:rFonts w:ascii="Times New Roman" w:hAnsi="Times New Roman" w:cs="Times New Roman"/>
        </w:rPr>
        <w:br/>
      </w:r>
      <w:r w:rsidRPr="00E77B25">
        <w:rPr>
          <w:rFonts w:ascii="Times New Roman" w:hAnsi="Times New Roman" w:cs="Times New Roman"/>
        </w:rPr>
        <w:br/>
        <w:t>Regulatory Status:</w:t>
      </w:r>
      <w:r w:rsidRPr="00E77B25">
        <w:rPr>
          <w:rFonts w:ascii="Times New Roman" w:hAnsi="Times New Roman" w:cs="Times New Roman"/>
        </w:rPr>
        <w:br/>
        <w:t>- Subject to the Cayman Islands Monetary Authority (CIMA) and the Securities Investment Business Act (SIBA).</w:t>
      </w:r>
      <w:r w:rsidRPr="00E77B25">
        <w:rPr>
          <w:rFonts w:ascii="Times New Roman" w:hAnsi="Times New Roman" w:cs="Times New Roman"/>
        </w:rPr>
        <w:br/>
        <w:t>- Complies with Cayman AML, KYC, and data protection rules.</w:t>
      </w:r>
      <w:r w:rsidRPr="00E77B25">
        <w:rPr>
          <w:rFonts w:ascii="Times New Roman" w:hAnsi="Times New Roman" w:cs="Times New Roman"/>
        </w:rPr>
        <w:br/>
        <w:t>- Not engaged in retail or consumer-facing investment services.</w:t>
      </w:r>
    </w:p>
    <w:p w14:paraId="3C680BAA" w14:textId="77777777" w:rsidR="00254097" w:rsidRPr="00E77B25" w:rsidRDefault="00000000">
      <w:pPr>
        <w:pStyle w:val="Heading2"/>
        <w:rPr>
          <w:rFonts w:ascii="Times New Roman" w:hAnsi="Times New Roman" w:cs="Times New Roman"/>
          <w:color w:val="auto"/>
          <w:sz w:val="22"/>
          <w:szCs w:val="22"/>
        </w:rPr>
      </w:pPr>
      <w:r w:rsidRPr="00E77B25">
        <w:rPr>
          <w:rFonts w:ascii="Times New Roman" w:hAnsi="Times New Roman" w:cs="Times New Roman"/>
          <w:color w:val="auto"/>
          <w:sz w:val="22"/>
          <w:szCs w:val="22"/>
        </w:rPr>
        <w:t>Novarra Fund I, LLC &amp; Novarra Fund II, LLC</w:t>
      </w:r>
    </w:p>
    <w:p w14:paraId="7E944F39" w14:textId="77777777" w:rsidR="00254097" w:rsidRPr="00E77B25" w:rsidRDefault="00000000">
      <w:pPr>
        <w:rPr>
          <w:rFonts w:ascii="Times New Roman" w:hAnsi="Times New Roman" w:cs="Times New Roman"/>
        </w:rPr>
      </w:pPr>
      <w:r w:rsidRPr="00E77B25">
        <w:rPr>
          <w:rFonts w:ascii="Times New Roman" w:hAnsi="Times New Roman" w:cs="Times New Roman"/>
        </w:rPr>
        <w:t>Novarra Fund I, LLC and Novarra Fund II, LLC are Delaware private investment funds affiliated with Novarra BBX.</w:t>
      </w:r>
      <w:r w:rsidRPr="00E77B25">
        <w:rPr>
          <w:rFonts w:ascii="Times New Roman" w:hAnsi="Times New Roman" w:cs="Times New Roman"/>
        </w:rPr>
        <w:br/>
      </w:r>
      <w:r w:rsidRPr="00E77B25">
        <w:rPr>
          <w:rFonts w:ascii="Times New Roman" w:hAnsi="Times New Roman" w:cs="Times New Roman"/>
        </w:rPr>
        <w:br/>
        <w:t>- Interests are offered pursuant to Regulation D, Rule 506(c) of the Securities Act of 1933.</w:t>
      </w:r>
      <w:r w:rsidRPr="00E77B25">
        <w:rPr>
          <w:rFonts w:ascii="Times New Roman" w:hAnsi="Times New Roman" w:cs="Times New Roman"/>
        </w:rPr>
        <w:br/>
        <w:t>- Rule 506(c) permits general solicitation and advertising, provided all investors are verified accredited investors.</w:t>
      </w:r>
      <w:r w:rsidRPr="00E77B25">
        <w:rPr>
          <w:rFonts w:ascii="Times New Roman" w:hAnsi="Times New Roman" w:cs="Times New Roman"/>
        </w:rPr>
        <w:br/>
        <w:t>- Verification is conducted through independent third-party processes as required by SEC rules.</w:t>
      </w:r>
      <w:r w:rsidRPr="00E77B25">
        <w:rPr>
          <w:rFonts w:ascii="Times New Roman" w:hAnsi="Times New Roman" w:cs="Times New Roman"/>
        </w:rPr>
        <w:br/>
        <w:t>- Interests are not registered under the Investment Company Act of 1940 or the Investment Advisers Act of 1940.</w:t>
      </w:r>
      <w:r w:rsidRPr="00E77B25">
        <w:rPr>
          <w:rFonts w:ascii="Times New Roman" w:hAnsi="Times New Roman" w:cs="Times New Roman"/>
        </w:rPr>
        <w:br/>
      </w:r>
      <w:r w:rsidRPr="00E77B25">
        <w:rPr>
          <w:rFonts w:ascii="Times New Roman" w:hAnsi="Times New Roman" w:cs="Times New Roman"/>
        </w:rPr>
        <w:br/>
        <w:t>Eligibility:</w:t>
      </w:r>
      <w:r w:rsidRPr="00E77B25">
        <w:rPr>
          <w:rFonts w:ascii="Times New Roman" w:hAnsi="Times New Roman" w:cs="Times New Roman"/>
        </w:rPr>
        <w:br/>
      </w:r>
      <w:r w:rsidRPr="00E77B25">
        <w:rPr>
          <w:rFonts w:ascii="Times New Roman" w:hAnsi="Times New Roman" w:cs="Times New Roman"/>
        </w:rPr>
        <w:lastRenderedPageBreak/>
        <w:t>- Participation is limited to verified accredited investors, institutions, and qualified purchasers.</w:t>
      </w:r>
      <w:r w:rsidRPr="00E77B25">
        <w:rPr>
          <w:rFonts w:ascii="Times New Roman" w:hAnsi="Times New Roman" w:cs="Times New Roman"/>
        </w:rPr>
        <w:br/>
        <w:t>- All participants are required to undergo AML/KYC/KYB checks prior to admission.</w:t>
      </w:r>
    </w:p>
    <w:p w14:paraId="1AB02F13" w14:textId="77777777" w:rsidR="00254097" w:rsidRPr="00E77B25" w:rsidRDefault="00000000">
      <w:pPr>
        <w:pStyle w:val="Heading2"/>
        <w:rPr>
          <w:rFonts w:ascii="Times New Roman" w:hAnsi="Times New Roman" w:cs="Times New Roman"/>
          <w:color w:val="auto"/>
          <w:sz w:val="22"/>
          <w:szCs w:val="22"/>
        </w:rPr>
      </w:pPr>
      <w:r w:rsidRPr="00E77B25">
        <w:rPr>
          <w:rFonts w:ascii="Times New Roman" w:hAnsi="Times New Roman" w:cs="Times New Roman"/>
          <w:color w:val="auto"/>
          <w:sz w:val="22"/>
          <w:szCs w:val="22"/>
        </w:rPr>
        <w:t>Novarra Liquidity Pools &amp; Structured Notes</w:t>
      </w:r>
    </w:p>
    <w:p w14:paraId="740ABEFF" w14:textId="77777777" w:rsidR="00254097" w:rsidRPr="00E77B25" w:rsidRDefault="00000000">
      <w:pPr>
        <w:rPr>
          <w:rFonts w:ascii="Times New Roman" w:hAnsi="Times New Roman" w:cs="Times New Roman"/>
        </w:rPr>
      </w:pPr>
      <w:r w:rsidRPr="00E77B25">
        <w:rPr>
          <w:rFonts w:ascii="Times New Roman" w:hAnsi="Times New Roman" w:cs="Times New Roman"/>
        </w:rPr>
        <w:t>Novarra’s institutional liquidity pools and related structured products are designed to facilitate high-volume digital asset settlement and execution.</w:t>
      </w:r>
      <w:r w:rsidRPr="00E77B25">
        <w:rPr>
          <w:rFonts w:ascii="Times New Roman" w:hAnsi="Times New Roman" w:cs="Times New Roman"/>
        </w:rPr>
        <w:br/>
      </w:r>
      <w:r w:rsidRPr="00E77B25">
        <w:rPr>
          <w:rFonts w:ascii="Times New Roman" w:hAnsi="Times New Roman" w:cs="Times New Roman"/>
        </w:rPr>
        <w:br/>
        <w:t>- Products may be structured as private notes, debentures, or fund participations.</w:t>
      </w:r>
      <w:r w:rsidRPr="00E77B25">
        <w:rPr>
          <w:rFonts w:ascii="Times New Roman" w:hAnsi="Times New Roman" w:cs="Times New Roman"/>
        </w:rPr>
        <w:br/>
        <w:t>- Participation is limited to institutional counterparties and accredited investors.</w:t>
      </w:r>
      <w:r w:rsidRPr="00E77B25">
        <w:rPr>
          <w:rFonts w:ascii="Times New Roman" w:hAnsi="Times New Roman" w:cs="Times New Roman"/>
        </w:rPr>
        <w:br/>
        <w:t>- Risks include lock-ups, limited liquidity, counterparty exposure, and loss of principal.</w:t>
      </w:r>
      <w:r w:rsidRPr="00E77B25">
        <w:rPr>
          <w:rFonts w:ascii="Times New Roman" w:hAnsi="Times New Roman" w:cs="Times New Roman"/>
        </w:rPr>
        <w:br/>
        <w:t>- No assurance of returns or liquidity is provided.</w:t>
      </w:r>
    </w:p>
    <w:p w14:paraId="5B4E2755" w14:textId="77777777" w:rsidR="00254097" w:rsidRPr="00E77B25" w:rsidRDefault="00000000">
      <w:pPr>
        <w:pStyle w:val="Heading2"/>
        <w:rPr>
          <w:rFonts w:ascii="Times New Roman" w:hAnsi="Times New Roman" w:cs="Times New Roman"/>
          <w:color w:val="auto"/>
          <w:sz w:val="22"/>
          <w:szCs w:val="22"/>
        </w:rPr>
      </w:pPr>
      <w:r w:rsidRPr="00E77B25">
        <w:rPr>
          <w:rFonts w:ascii="Times New Roman" w:hAnsi="Times New Roman" w:cs="Times New Roman"/>
          <w:color w:val="auto"/>
          <w:sz w:val="22"/>
          <w:szCs w:val="22"/>
        </w:rPr>
        <w:t>Risk Disclosures</w:t>
      </w:r>
    </w:p>
    <w:p w14:paraId="6047DAE4" w14:textId="77777777" w:rsidR="00254097" w:rsidRPr="00E77B25" w:rsidRDefault="00000000">
      <w:pPr>
        <w:rPr>
          <w:rFonts w:ascii="Times New Roman" w:hAnsi="Times New Roman" w:cs="Times New Roman"/>
        </w:rPr>
      </w:pPr>
      <w:r w:rsidRPr="00E77B25">
        <w:rPr>
          <w:rFonts w:ascii="Times New Roman" w:hAnsi="Times New Roman" w:cs="Times New Roman"/>
        </w:rPr>
        <w:t>Participation in digital asset products and services carries substantial risk. By engaging with Novarra, you acknowledge and accept the following:</w:t>
      </w:r>
      <w:r w:rsidRPr="00E77B25">
        <w:rPr>
          <w:rFonts w:ascii="Times New Roman" w:hAnsi="Times New Roman" w:cs="Times New Roman"/>
        </w:rPr>
        <w:br/>
      </w:r>
      <w:r w:rsidRPr="00E77B25">
        <w:rPr>
          <w:rFonts w:ascii="Times New Roman" w:hAnsi="Times New Roman" w:cs="Times New Roman"/>
        </w:rPr>
        <w:br/>
        <w:t>1. Not Legal Tender: Digital assets are not legal tender and are not backed by any government.</w:t>
      </w:r>
      <w:r w:rsidRPr="00E77B25">
        <w:rPr>
          <w:rFonts w:ascii="Times New Roman" w:hAnsi="Times New Roman" w:cs="Times New Roman"/>
        </w:rPr>
        <w:br/>
        <w:t>2. No Insurance: Accounts, wallets, or balances are not protected by the Federal Deposit Insurance Corporation (FDIC), the Securities Investor Protection Corporation (SIPC), or equivalent protections.</w:t>
      </w:r>
      <w:r w:rsidRPr="00E77B25">
        <w:rPr>
          <w:rFonts w:ascii="Times New Roman" w:hAnsi="Times New Roman" w:cs="Times New Roman"/>
        </w:rPr>
        <w:br/>
        <w:t>3. Volatility: The value of digital assets may fluctuate significantly and may become worthless.</w:t>
      </w:r>
      <w:r w:rsidRPr="00E77B25">
        <w:rPr>
          <w:rFonts w:ascii="Times New Roman" w:hAnsi="Times New Roman" w:cs="Times New Roman"/>
        </w:rPr>
        <w:br/>
        <w:t>4. Irreversibility: Transactions in digital assets are generally irreversible, and losses due to errors or fraud may not be recoverable.</w:t>
      </w:r>
      <w:r w:rsidRPr="00E77B25">
        <w:rPr>
          <w:rFonts w:ascii="Times New Roman" w:hAnsi="Times New Roman" w:cs="Times New Roman"/>
        </w:rPr>
        <w:br/>
        <w:t>5. Regulatory Changes: Evolving regulations in the U.S., Cayman Islands, and internationally may adversely affect digital asset use, transfer, or value.</w:t>
      </w:r>
      <w:r w:rsidRPr="00E77B25">
        <w:rPr>
          <w:rFonts w:ascii="Times New Roman" w:hAnsi="Times New Roman" w:cs="Times New Roman"/>
        </w:rPr>
        <w:br/>
        <w:t>6. Cybersecurity Risks: Digital assets are subject to fraud, hacking, and cyberattacks, which may result in loss.</w:t>
      </w:r>
      <w:r w:rsidRPr="00E77B25">
        <w:rPr>
          <w:rFonts w:ascii="Times New Roman" w:hAnsi="Times New Roman" w:cs="Times New Roman"/>
        </w:rPr>
        <w:br/>
        <w:t>7. Operational Risks: Custodial, technological, and settlement failures may affect the access or usability of digital assets.</w:t>
      </w:r>
    </w:p>
    <w:p w14:paraId="3FA55610" w14:textId="77777777" w:rsidR="00254097" w:rsidRPr="00E77B25" w:rsidRDefault="00000000">
      <w:pPr>
        <w:pStyle w:val="Heading2"/>
        <w:rPr>
          <w:rFonts w:ascii="Times New Roman" w:hAnsi="Times New Roman" w:cs="Times New Roman"/>
          <w:color w:val="auto"/>
          <w:sz w:val="22"/>
          <w:szCs w:val="22"/>
        </w:rPr>
      </w:pPr>
      <w:r w:rsidRPr="00E77B25">
        <w:rPr>
          <w:rFonts w:ascii="Times New Roman" w:hAnsi="Times New Roman" w:cs="Times New Roman"/>
          <w:color w:val="auto"/>
          <w:sz w:val="22"/>
          <w:szCs w:val="22"/>
        </w:rPr>
        <w:t>No Advice</w:t>
      </w:r>
    </w:p>
    <w:p w14:paraId="44E3799B" w14:textId="77777777" w:rsidR="00254097" w:rsidRPr="00E77B25" w:rsidRDefault="00000000">
      <w:pPr>
        <w:rPr>
          <w:rFonts w:ascii="Times New Roman" w:hAnsi="Times New Roman" w:cs="Times New Roman"/>
        </w:rPr>
      </w:pPr>
      <w:r w:rsidRPr="00E77B25">
        <w:rPr>
          <w:rFonts w:ascii="Times New Roman" w:hAnsi="Times New Roman" w:cs="Times New Roman"/>
        </w:rPr>
        <w:t>Novarra and its affiliates do not provide investment, legal, tax, or accounting advice. Investors should consult independent professional advisors regarding their specific circumstances.</w:t>
      </w:r>
    </w:p>
    <w:p w14:paraId="65BD0852" w14:textId="77777777" w:rsidR="00254097" w:rsidRPr="00E77B25" w:rsidRDefault="00000000">
      <w:pPr>
        <w:pStyle w:val="Heading2"/>
        <w:rPr>
          <w:rFonts w:ascii="Times New Roman" w:hAnsi="Times New Roman" w:cs="Times New Roman"/>
          <w:color w:val="auto"/>
          <w:sz w:val="22"/>
          <w:szCs w:val="22"/>
        </w:rPr>
      </w:pPr>
      <w:r w:rsidRPr="00E77B25">
        <w:rPr>
          <w:rFonts w:ascii="Times New Roman" w:hAnsi="Times New Roman" w:cs="Times New Roman"/>
          <w:color w:val="auto"/>
          <w:sz w:val="22"/>
          <w:szCs w:val="22"/>
        </w:rPr>
        <w:t>Complaints &amp; Contact</w:t>
      </w:r>
    </w:p>
    <w:p w14:paraId="1FF529E7" w14:textId="2C02E6DD" w:rsidR="00254097" w:rsidRPr="00E77B25" w:rsidRDefault="00000000">
      <w:pPr>
        <w:rPr>
          <w:rFonts w:ascii="Times New Roman" w:hAnsi="Times New Roman" w:cs="Times New Roman"/>
        </w:rPr>
      </w:pPr>
      <w:r w:rsidRPr="00E77B25">
        <w:rPr>
          <w:rFonts w:ascii="Times New Roman" w:hAnsi="Times New Roman" w:cs="Times New Roman"/>
        </w:rPr>
        <w:t>For inquiries, complaints, or regulatory matters, please contact:</w:t>
      </w:r>
      <w:r w:rsidRPr="00E77B25">
        <w:rPr>
          <w:rFonts w:ascii="Times New Roman" w:hAnsi="Times New Roman" w:cs="Times New Roman"/>
        </w:rPr>
        <w:br/>
      </w:r>
      <w:r w:rsidRPr="00E77B25">
        <w:rPr>
          <w:rFonts w:ascii="Times New Roman" w:hAnsi="Times New Roman" w:cs="Times New Roman"/>
        </w:rPr>
        <w:br/>
        <w:t>legal@novarra.vc</w:t>
      </w:r>
      <w:r w:rsidRPr="00E77B25">
        <w:rPr>
          <w:rFonts w:ascii="Times New Roman" w:hAnsi="Times New Roman" w:cs="Times New Roman"/>
        </w:rPr>
        <w:br/>
        <w:t>Novarra BBX, LLC – Institutional Digital Asset Services</w:t>
      </w:r>
      <w:r w:rsidRPr="00E77B25">
        <w:rPr>
          <w:rFonts w:ascii="Times New Roman" w:hAnsi="Times New Roman" w:cs="Times New Roman"/>
        </w:rPr>
        <w:br/>
      </w:r>
      <w:r w:rsidRPr="00E77B25">
        <w:rPr>
          <w:rFonts w:ascii="Times New Roman" w:hAnsi="Times New Roman" w:cs="Times New Roman"/>
        </w:rPr>
        <w:br/>
        <w:t>For Cayman-related inquiries, you may also contact:</w:t>
      </w:r>
      <w:r w:rsidRPr="00E77B25">
        <w:rPr>
          <w:rFonts w:ascii="Times New Roman" w:hAnsi="Times New Roman" w:cs="Times New Roman"/>
        </w:rPr>
        <w:br/>
        <w:t>Cayman Islands Monetary Authority (CIMA) – https://www.cima.ky</w:t>
      </w:r>
    </w:p>
    <w:p w14:paraId="1B553CEA" w14:textId="77777777" w:rsidR="00254097" w:rsidRPr="00E77B25" w:rsidRDefault="00000000">
      <w:pPr>
        <w:rPr>
          <w:rFonts w:ascii="Times New Roman" w:hAnsi="Times New Roman" w:cs="Times New Roman"/>
        </w:rPr>
      </w:pPr>
      <w:r w:rsidRPr="00E77B25">
        <w:rPr>
          <w:rFonts w:ascii="Times New Roman" w:hAnsi="Times New Roman" w:cs="Times New Roman"/>
        </w:rPr>
        <w:br w:type="page"/>
      </w:r>
    </w:p>
    <w:p w14:paraId="300EA71D" w14:textId="77777777" w:rsidR="00254097" w:rsidRPr="00E77B25" w:rsidRDefault="00000000">
      <w:pPr>
        <w:pStyle w:val="Heading1"/>
        <w:rPr>
          <w:rFonts w:ascii="Times New Roman" w:hAnsi="Times New Roman" w:cs="Times New Roman"/>
          <w:color w:val="auto"/>
          <w:sz w:val="22"/>
          <w:szCs w:val="22"/>
        </w:rPr>
      </w:pPr>
      <w:r w:rsidRPr="00E77B25">
        <w:rPr>
          <w:rFonts w:ascii="Times New Roman" w:hAnsi="Times New Roman" w:cs="Times New Roman"/>
          <w:color w:val="auto"/>
          <w:sz w:val="22"/>
          <w:szCs w:val="22"/>
        </w:rPr>
        <w:lastRenderedPageBreak/>
        <w:t>Website Footer Disclosure</w:t>
      </w:r>
    </w:p>
    <w:p w14:paraId="3D2DCFAA" w14:textId="77777777" w:rsidR="00254097" w:rsidRPr="00E77B25" w:rsidRDefault="00000000">
      <w:pPr>
        <w:rPr>
          <w:rFonts w:ascii="Times New Roman" w:hAnsi="Times New Roman" w:cs="Times New Roman"/>
        </w:rPr>
      </w:pPr>
      <w:r w:rsidRPr="00E77B25">
        <w:rPr>
          <w:rFonts w:ascii="Times New Roman" w:hAnsi="Times New Roman" w:cs="Times New Roman"/>
        </w:rPr>
        <w:t xml:space="preserve">Digital assets involve risk, including potential total loss of value. </w:t>
      </w:r>
      <w:r w:rsidRPr="00E77B25">
        <w:rPr>
          <w:rFonts w:ascii="Times New Roman" w:hAnsi="Times New Roman" w:cs="Times New Roman"/>
        </w:rPr>
        <w:br/>
        <w:t xml:space="preserve">Not FDIC or SIPC insured. Participation limited to institutional clients </w:t>
      </w:r>
      <w:r w:rsidRPr="00E77B25">
        <w:rPr>
          <w:rFonts w:ascii="Times New Roman" w:hAnsi="Times New Roman" w:cs="Times New Roman"/>
        </w:rPr>
        <w:br/>
        <w:t xml:space="preserve">and verified accredited investors (Rule 506(c)). Novarra BBX, LLC and its </w:t>
      </w:r>
      <w:r w:rsidRPr="00E77B25">
        <w:rPr>
          <w:rFonts w:ascii="Times New Roman" w:hAnsi="Times New Roman" w:cs="Times New Roman"/>
        </w:rPr>
        <w:br/>
        <w:t>affiliates do not provide investment, legal, or tax advice. Contact legal@novarra.vc.</w:t>
      </w:r>
    </w:p>
    <w:sectPr w:rsidR="00254097" w:rsidRPr="00E77B2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77005243">
    <w:abstractNumId w:val="8"/>
  </w:num>
  <w:num w:numId="2" w16cid:durableId="880635233">
    <w:abstractNumId w:val="6"/>
  </w:num>
  <w:num w:numId="3" w16cid:durableId="56363248">
    <w:abstractNumId w:val="5"/>
  </w:num>
  <w:num w:numId="4" w16cid:durableId="1162694836">
    <w:abstractNumId w:val="4"/>
  </w:num>
  <w:num w:numId="5" w16cid:durableId="610556088">
    <w:abstractNumId w:val="7"/>
  </w:num>
  <w:num w:numId="6" w16cid:durableId="1050883226">
    <w:abstractNumId w:val="3"/>
  </w:num>
  <w:num w:numId="7" w16cid:durableId="2058964887">
    <w:abstractNumId w:val="2"/>
  </w:num>
  <w:num w:numId="8" w16cid:durableId="1452357633">
    <w:abstractNumId w:val="1"/>
  </w:num>
  <w:num w:numId="9" w16cid:durableId="76903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D716D"/>
    <w:rsid w:val="0015074B"/>
    <w:rsid w:val="00254097"/>
    <w:rsid w:val="0029639D"/>
    <w:rsid w:val="00326F90"/>
    <w:rsid w:val="00AA1D8D"/>
    <w:rsid w:val="00B47730"/>
    <w:rsid w:val="00CB0664"/>
    <w:rsid w:val="00E77B2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DDB5A0"/>
  <w14:defaultImageDpi w14:val="300"/>
  <w15:docId w15:val="{6367FB74-615B-4F08-AE2D-7F89891F3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Roberto DiMarco</cp:lastModifiedBy>
  <cp:revision>2</cp:revision>
  <dcterms:created xsi:type="dcterms:W3CDTF">2025-09-19T17:15:00Z</dcterms:created>
  <dcterms:modified xsi:type="dcterms:W3CDTF">2025-09-19T17:15:00Z</dcterms:modified>
  <cp:category/>
</cp:coreProperties>
</file>